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F2A2" w14:textId="4FB69CF3" w:rsidR="00013C39" w:rsidRDefault="00C137E0" w:rsidP="00C137E0">
      <w:pPr>
        <w:pStyle w:val="Heading1"/>
      </w:pPr>
      <w:r>
        <w:t>FOG Abatement – Characterizing FOG Sources Worksheet</w:t>
      </w:r>
    </w:p>
    <w:p w14:paraId="2BAFF570" w14:textId="18679764" w:rsidR="00C137E0" w:rsidRDefault="00C137E0" w:rsidP="00C137E0">
      <w:pPr>
        <w:pStyle w:val="NoSpacing"/>
      </w:pPr>
    </w:p>
    <w:p w14:paraId="6CBF4DB6" w14:textId="77777777" w:rsidR="00C137E0" w:rsidRDefault="00C137E0" w:rsidP="00C137E0">
      <w:pPr>
        <w:pStyle w:val="NoSpacing"/>
      </w:pPr>
      <w:r>
        <w:t>Inventory of FSEs in the Jurisdiction</w:t>
      </w:r>
    </w:p>
    <w:p w14:paraId="02153BBA" w14:textId="77777777" w:rsidR="00C137E0" w:rsidRDefault="00C137E0" w:rsidP="00C137E0">
      <w:pPr>
        <w:pStyle w:val="NoSpacing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6021"/>
        <w:gridCol w:w="1748"/>
        <w:gridCol w:w="1581"/>
      </w:tblGrid>
      <w:tr w:rsidR="00C137E0" w14:paraId="6BFD096B" w14:textId="77777777" w:rsidTr="003B4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03A104BF" w14:textId="77777777" w:rsidR="00C137E0" w:rsidRDefault="00C137E0" w:rsidP="003B4B61">
            <w:pPr>
              <w:pStyle w:val="NoSpacing"/>
            </w:pPr>
            <w:r>
              <w:t>FSE Inventory and Survey</w:t>
            </w:r>
          </w:p>
        </w:tc>
        <w:tc>
          <w:tcPr>
            <w:tcW w:w="1748" w:type="dxa"/>
          </w:tcPr>
          <w:p w14:paraId="533FD361" w14:textId="77777777" w:rsidR="00C137E0" w:rsidRDefault="00C137E0" w:rsidP="003B4B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FSEs</w:t>
            </w:r>
          </w:p>
        </w:tc>
        <w:tc>
          <w:tcPr>
            <w:tcW w:w="1581" w:type="dxa"/>
          </w:tcPr>
          <w:p w14:paraId="529CFF5A" w14:textId="77777777" w:rsidR="00C137E0" w:rsidRDefault="00C137E0" w:rsidP="003B4B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Inspected</w:t>
            </w:r>
          </w:p>
        </w:tc>
      </w:tr>
      <w:tr w:rsidR="00C137E0" w14:paraId="7D359D67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655F3306" w14:textId="77777777" w:rsidR="00C137E0" w:rsidRDefault="00C137E0" w:rsidP="003B4B61">
            <w:pPr>
              <w:pStyle w:val="NoSpacing"/>
            </w:pPr>
            <w:r>
              <w:t>City Business License Listing</w:t>
            </w:r>
          </w:p>
          <w:p w14:paraId="10354F6A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68344E00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39A1548E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7E0" w14:paraId="0B268022" w14:textId="77777777" w:rsidTr="003B4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0CE4861C" w14:textId="77777777" w:rsidR="00C137E0" w:rsidRDefault="00C137E0" w:rsidP="003B4B61">
            <w:pPr>
              <w:pStyle w:val="NoSpacing"/>
            </w:pPr>
            <w:r>
              <w:t>Health Department FSE licensing list</w:t>
            </w:r>
          </w:p>
          <w:p w14:paraId="35F9A63B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456AF8E7" w14:textId="77777777" w:rsidR="00C137E0" w:rsidRDefault="00C137E0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33DB9D18" w14:textId="77777777" w:rsidR="00C137E0" w:rsidRDefault="00C137E0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7E0" w14:paraId="7D494DAE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5F0E46BB" w14:textId="77777777" w:rsidR="00C137E0" w:rsidRDefault="00C137E0" w:rsidP="003B4B61">
            <w:pPr>
              <w:pStyle w:val="NoSpacing"/>
            </w:pPr>
            <w:r>
              <w:t>Department of Agriculture Food preparation facility list (grocery)</w:t>
            </w:r>
          </w:p>
          <w:p w14:paraId="41BC5E7B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728179C2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6C2908F3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7E0" w14:paraId="6FEDF9AD" w14:textId="77777777" w:rsidTr="003B4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003612B6" w14:textId="77777777" w:rsidR="00C137E0" w:rsidRDefault="00C137E0" w:rsidP="003B4B61">
            <w:pPr>
              <w:pStyle w:val="NoSpacing"/>
            </w:pPr>
            <w:r>
              <w:t>School District kitchens</w:t>
            </w:r>
          </w:p>
          <w:p w14:paraId="35788564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6BA22CC9" w14:textId="77777777" w:rsidR="00C137E0" w:rsidRDefault="00C137E0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479D12FB" w14:textId="77777777" w:rsidR="00C137E0" w:rsidRDefault="00C137E0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7E0" w14:paraId="4661B2BA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17906187" w14:textId="77777777" w:rsidR="00C137E0" w:rsidRDefault="00C137E0" w:rsidP="003B4B61">
            <w:pPr>
              <w:pStyle w:val="NoSpacing"/>
            </w:pPr>
            <w:r>
              <w:t>Retirement Facilities with dining</w:t>
            </w:r>
          </w:p>
          <w:p w14:paraId="18FA3F4D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535B3CD8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6E3A1C6F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7E0" w14:paraId="142255B3" w14:textId="77777777" w:rsidTr="003B4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2D1272B2" w14:textId="77777777" w:rsidR="00C137E0" w:rsidRDefault="00C137E0" w:rsidP="003B4B61">
            <w:pPr>
              <w:pStyle w:val="NoSpacing"/>
            </w:pPr>
            <w:r>
              <w:t>Extended care facilities</w:t>
            </w:r>
          </w:p>
          <w:p w14:paraId="37C6EA6F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651C8102" w14:textId="77777777" w:rsidR="00C137E0" w:rsidRDefault="00C137E0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118E1E05" w14:textId="77777777" w:rsidR="00C137E0" w:rsidRDefault="00C137E0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7E0" w14:paraId="638927ED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043E6A21" w14:textId="77777777" w:rsidR="00C137E0" w:rsidRDefault="00C137E0" w:rsidP="003B4B61">
            <w:pPr>
              <w:pStyle w:val="NoSpacing"/>
            </w:pPr>
            <w:r>
              <w:t>Correctional Facilities</w:t>
            </w:r>
          </w:p>
          <w:p w14:paraId="697A2D02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0F1D8856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7B040037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7E0" w14:paraId="0EA51A0B" w14:textId="77777777" w:rsidTr="003B4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1FCDA94F" w14:textId="77777777" w:rsidR="00C137E0" w:rsidRDefault="00C137E0" w:rsidP="003B4B61">
            <w:pPr>
              <w:pStyle w:val="NoSpacing"/>
            </w:pPr>
            <w:r>
              <w:t>Hospitals</w:t>
            </w:r>
          </w:p>
          <w:p w14:paraId="2FE4F8FE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7E30F213" w14:textId="77777777" w:rsidR="00C137E0" w:rsidRDefault="00C137E0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36C3BFE2" w14:textId="77777777" w:rsidR="00C137E0" w:rsidRDefault="00C137E0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7E0" w14:paraId="36482922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1" w:type="dxa"/>
          </w:tcPr>
          <w:p w14:paraId="6EE4E2C6" w14:textId="77777777" w:rsidR="00C137E0" w:rsidRDefault="00C137E0" w:rsidP="003B4B61">
            <w:pPr>
              <w:pStyle w:val="NoSpacing"/>
            </w:pPr>
            <w:r>
              <w:t>Other</w:t>
            </w:r>
          </w:p>
          <w:p w14:paraId="5DDCAA68" w14:textId="77777777" w:rsidR="00C137E0" w:rsidRDefault="00C137E0" w:rsidP="003B4B61">
            <w:pPr>
              <w:pStyle w:val="NoSpacing"/>
            </w:pPr>
          </w:p>
        </w:tc>
        <w:tc>
          <w:tcPr>
            <w:tcW w:w="1748" w:type="dxa"/>
          </w:tcPr>
          <w:p w14:paraId="758247F2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220F0BE6" w14:textId="77777777" w:rsidR="00C137E0" w:rsidRDefault="00C137E0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5EC822" w14:textId="285B0AFA" w:rsidR="00C137E0" w:rsidRDefault="00C137E0" w:rsidP="00C137E0">
      <w:pPr>
        <w:pStyle w:val="NoSpacing"/>
      </w:pPr>
    </w:p>
    <w:p w14:paraId="47C0DA62" w14:textId="4C86B8F8" w:rsidR="00345A17" w:rsidRDefault="00345A17" w:rsidP="00C137E0">
      <w:pPr>
        <w:pStyle w:val="NoSpacing"/>
      </w:pPr>
    </w:p>
    <w:p w14:paraId="592798AA" w14:textId="7E779CDC" w:rsidR="00345A17" w:rsidRDefault="00345A17">
      <w:r>
        <w:br w:type="page"/>
      </w:r>
    </w:p>
    <w:p w14:paraId="17DF746B" w14:textId="77777777" w:rsidR="00345A17" w:rsidRDefault="00345A17" w:rsidP="00345A17">
      <w:r>
        <w:lastRenderedPageBreak/>
        <w:t>FOG TRIAGE</w:t>
      </w:r>
    </w:p>
    <w:p w14:paraId="7281F699" w14:textId="77777777" w:rsidR="00345A17" w:rsidRDefault="00345A17" w:rsidP="00345A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024A3">
        <w:rPr>
          <w:rFonts w:ascii="Calibri" w:eastAsia="Times New Roman" w:hAnsi="Calibri" w:cs="Calibri"/>
          <w:color w:val="000000"/>
          <w:sz w:val="24"/>
          <w:szCs w:val="24"/>
        </w:rPr>
        <w:t>FOG Triage is focused effort and is based on data gathered during initial cost-benefit analysis and FSE inspections.</w:t>
      </w:r>
    </w:p>
    <w:p w14:paraId="7EDE4197" w14:textId="77777777" w:rsidR="00345A17" w:rsidRPr="00E024A3" w:rsidRDefault="00345A17" w:rsidP="00345A1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F87415B" w14:textId="77777777" w:rsidR="00345A17" w:rsidRDefault="00345A17" w:rsidP="00345A17">
      <w:pPr>
        <w:spacing w:after="0" w:line="240" w:lineRule="auto"/>
        <w:textAlignment w:val="baseline"/>
      </w:pPr>
      <w:r>
        <w:t xml:space="preserve">Use a table or spreadsheet such as below to inventory the FSEs in the Jurisdiction. </w:t>
      </w:r>
    </w:p>
    <w:p w14:paraId="72E31181" w14:textId="77777777" w:rsidR="00345A17" w:rsidRDefault="00345A17" w:rsidP="00345A17">
      <w:pPr>
        <w:spacing w:after="0" w:line="240" w:lineRule="auto"/>
        <w:textAlignment w:val="baseline"/>
      </w:pPr>
      <w:r>
        <w:t xml:space="preserve">Use the </w:t>
      </w:r>
      <w:hyperlink r:id="rId5" w:history="1">
        <w:r w:rsidRPr="005A1755">
          <w:rPr>
            <w:rStyle w:val="Hyperlink"/>
          </w:rPr>
          <w:t>Kennedy/Jenks Brown Grease Study</w:t>
        </w:r>
      </w:hyperlink>
      <w:r>
        <w:t xml:space="preserve"> found on the </w:t>
      </w:r>
      <w:hyperlink r:id="rId6" w:history="1">
        <w:r w:rsidRPr="005A1755">
          <w:rPr>
            <w:rStyle w:val="Hyperlink"/>
          </w:rPr>
          <w:t>Western States Alliance training webpage</w:t>
        </w:r>
      </w:hyperlink>
      <w:r>
        <w:t xml:space="preserve"> to classify FOG load as Very High (VH), High (H), Medium (M), or Low (L) for each FSE.  Evaluate each FSE:</w:t>
      </w:r>
    </w:p>
    <w:p w14:paraId="0C236CB7" w14:textId="77777777" w:rsidR="00345A17" w:rsidRPr="00471DFC" w:rsidRDefault="00345A17" w:rsidP="00345A1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471DFC">
        <w:rPr>
          <w:rFonts w:ascii="Calibri" w:eastAsia="Times New Roman" w:hAnsi="Calibri" w:cs="Calibri"/>
          <w:color w:val="000000"/>
          <w:sz w:val="24"/>
          <w:szCs w:val="24"/>
        </w:rPr>
        <w:t xml:space="preserve">Is the FSE a “High FOG </w:t>
      </w:r>
      <w:r>
        <w:rPr>
          <w:rFonts w:ascii="Calibri" w:eastAsia="Times New Roman" w:hAnsi="Calibri" w:cs="Calibri"/>
          <w:color w:val="000000"/>
          <w:sz w:val="24"/>
          <w:szCs w:val="24"/>
        </w:rPr>
        <w:t>production</w:t>
      </w:r>
      <w:r w:rsidRPr="00471DFC">
        <w:rPr>
          <w:rFonts w:ascii="Calibri" w:eastAsia="Times New Roman" w:hAnsi="Calibri" w:cs="Calibri"/>
          <w:color w:val="000000"/>
          <w:sz w:val="24"/>
          <w:szCs w:val="24"/>
        </w:rPr>
        <w:t>” facility?</w:t>
      </w:r>
    </w:p>
    <w:p w14:paraId="460E5CDB" w14:textId="77777777" w:rsidR="00345A17" w:rsidRPr="00471DFC" w:rsidRDefault="00345A17" w:rsidP="00345A1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471DFC">
        <w:rPr>
          <w:rFonts w:ascii="Calibri" w:eastAsia="Times New Roman" w:hAnsi="Calibri" w:cs="Calibri"/>
          <w:color w:val="000000"/>
          <w:sz w:val="24"/>
          <w:szCs w:val="24"/>
        </w:rPr>
        <w:t>Is this FSE located on a FOG line?</w:t>
      </w:r>
    </w:p>
    <w:p w14:paraId="300D1620" w14:textId="77777777" w:rsidR="00345A17" w:rsidRPr="00471DFC" w:rsidRDefault="00345A17" w:rsidP="00345A1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471DFC">
        <w:rPr>
          <w:rFonts w:ascii="Calibri" w:eastAsia="Times New Roman" w:hAnsi="Calibri" w:cs="Calibri"/>
          <w:color w:val="000000"/>
          <w:sz w:val="24"/>
          <w:szCs w:val="24"/>
        </w:rPr>
        <w:t>Are all FSE fixtures and drains connected to an appropriately sized interceptor?</w:t>
      </w:r>
    </w:p>
    <w:p w14:paraId="011697EE" w14:textId="77777777" w:rsidR="00345A17" w:rsidRPr="00471DFC" w:rsidRDefault="00345A17" w:rsidP="00345A1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471DFC">
        <w:rPr>
          <w:rFonts w:ascii="Calibri" w:eastAsia="Times New Roman" w:hAnsi="Calibri" w:cs="Calibri"/>
          <w:color w:val="000000"/>
          <w:sz w:val="24"/>
          <w:szCs w:val="24"/>
        </w:rPr>
        <w:t>Is the FSE interceptor being properly maintained to prevent bypass?</w:t>
      </w:r>
    </w:p>
    <w:tbl>
      <w:tblPr>
        <w:tblStyle w:val="GridTable4-Accent6"/>
        <w:tblW w:w="9350" w:type="dxa"/>
        <w:tblLook w:val="04A0" w:firstRow="1" w:lastRow="0" w:firstColumn="1" w:lastColumn="0" w:noHBand="0" w:noVBand="1"/>
      </w:tblPr>
      <w:tblGrid>
        <w:gridCol w:w="3325"/>
        <w:gridCol w:w="1350"/>
        <w:gridCol w:w="1350"/>
        <w:gridCol w:w="1637"/>
        <w:gridCol w:w="1688"/>
      </w:tblGrid>
      <w:tr w:rsidR="00345A17" w14:paraId="5ACD062D" w14:textId="77777777" w:rsidTr="003B4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ACF31D1" w14:textId="77777777" w:rsidR="00345A17" w:rsidRDefault="00345A17" w:rsidP="003B4B61">
            <w:pPr>
              <w:pStyle w:val="NoSpacing"/>
            </w:pPr>
            <w:r>
              <w:t>FSE Inventory and Survey</w:t>
            </w:r>
          </w:p>
        </w:tc>
        <w:tc>
          <w:tcPr>
            <w:tcW w:w="1350" w:type="dxa"/>
          </w:tcPr>
          <w:p w14:paraId="59B70D25" w14:textId="77777777" w:rsidR="00345A17" w:rsidRDefault="00345A17" w:rsidP="003B4B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FOG production (VH, H, M, L)</w:t>
            </w:r>
          </w:p>
        </w:tc>
        <w:tc>
          <w:tcPr>
            <w:tcW w:w="1350" w:type="dxa"/>
          </w:tcPr>
          <w:p w14:paraId="5E803129" w14:textId="77777777" w:rsidR="00345A17" w:rsidRDefault="00345A17" w:rsidP="003B4B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 FOG line? Y or N</w:t>
            </w:r>
          </w:p>
        </w:tc>
        <w:tc>
          <w:tcPr>
            <w:tcW w:w="1637" w:type="dxa"/>
          </w:tcPr>
          <w:p w14:paraId="76EAE13C" w14:textId="77777777" w:rsidR="00345A17" w:rsidRDefault="00345A17" w:rsidP="003B4B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fixtures connected to interceptor (Y or N)</w:t>
            </w:r>
          </w:p>
        </w:tc>
        <w:tc>
          <w:tcPr>
            <w:tcW w:w="1688" w:type="dxa"/>
          </w:tcPr>
          <w:p w14:paraId="2BCFB7DB" w14:textId="77777777" w:rsidR="00345A17" w:rsidRDefault="00345A17" w:rsidP="003B4B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Interceptor properly </w:t>
            </w:r>
            <w:proofErr w:type="gramStart"/>
            <w:r>
              <w:t>maintained?</w:t>
            </w:r>
            <w:proofErr w:type="gramEnd"/>
            <w:r>
              <w:t xml:space="preserve"> Y or N</w:t>
            </w:r>
          </w:p>
        </w:tc>
      </w:tr>
      <w:tr w:rsidR="00345A17" w14:paraId="7658A103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672E057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001523FB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4611F467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9D9F14E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790B154C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393D0E41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A17" w14:paraId="0E9312C4" w14:textId="77777777" w:rsidTr="003B4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125E248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6566B71A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308B3D35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7EF25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735E56EC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05399EF0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A17" w14:paraId="32DBEB33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B4397CF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2B23B94A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1488249A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5F0DDD2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447A8BC5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2C50CD2C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A17" w14:paraId="0F3FEE55" w14:textId="77777777" w:rsidTr="003B4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9DAD1AE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1AAAC4FF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24543ABD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5E1ECE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0BD09CE1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5D1F279F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A17" w14:paraId="41A56609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2A6F81D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7A894414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7F05A168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0E1396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35121E43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131FAFBB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A17" w14:paraId="0420CBBF" w14:textId="77777777" w:rsidTr="003B4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1483D97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4B6F86EC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1097E700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E85B315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5A33FC6D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1767CC99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A17" w14:paraId="38188CEF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93520C5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0637233A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0C4F0CB7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FA77523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6645A371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189C1D31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A17" w14:paraId="50360DD7" w14:textId="77777777" w:rsidTr="003B4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0E38624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539DDA56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69CDE51D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DB7B81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711DC1E7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1DA4A40B" w14:textId="77777777" w:rsidR="00345A17" w:rsidRDefault="00345A17" w:rsidP="003B4B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A17" w14:paraId="5CC0B548" w14:textId="77777777" w:rsidTr="003B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4BDD4C3" w14:textId="77777777" w:rsidR="00345A17" w:rsidRDefault="00345A17" w:rsidP="003B4B61">
            <w:pPr>
              <w:pStyle w:val="NoSpacing"/>
            </w:pPr>
            <w:r>
              <w:t>FSE facility location</w:t>
            </w:r>
          </w:p>
          <w:p w14:paraId="419806A5" w14:textId="77777777" w:rsidR="00345A17" w:rsidRDefault="00345A17" w:rsidP="003B4B61">
            <w:pPr>
              <w:pStyle w:val="NoSpacing"/>
            </w:pPr>
          </w:p>
        </w:tc>
        <w:tc>
          <w:tcPr>
            <w:tcW w:w="1350" w:type="dxa"/>
          </w:tcPr>
          <w:p w14:paraId="0043BE90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1F24CE4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077C919D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14:paraId="50EADA2C" w14:textId="77777777" w:rsidR="00345A17" w:rsidRDefault="00345A17" w:rsidP="003B4B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F76930" w14:textId="77777777" w:rsidR="00345A17" w:rsidRDefault="00345A17" w:rsidP="00345A17">
      <w:pPr>
        <w:pStyle w:val="NoSpacing"/>
      </w:pPr>
    </w:p>
    <w:p w14:paraId="198B5512" w14:textId="77777777" w:rsidR="00345A17" w:rsidRDefault="00345A17" w:rsidP="00345A17">
      <w:pPr>
        <w:pStyle w:val="NoSpacing"/>
      </w:pPr>
      <w:r>
        <w:t>Prioritize inspections so you’re targeting 15-20% of FSE with high or very high FOG loading.</w:t>
      </w:r>
    </w:p>
    <w:p w14:paraId="114B45F8" w14:textId="77777777" w:rsidR="00345A17" w:rsidRDefault="00345A17" w:rsidP="00345A17">
      <w:pPr>
        <w:pStyle w:val="NoSpacing"/>
      </w:pPr>
      <w:r>
        <w:t>Check that they’re maintaining their GRD appropriately.</w:t>
      </w:r>
    </w:p>
    <w:p w14:paraId="0FC7F7F0" w14:textId="77777777" w:rsidR="00345A17" w:rsidRDefault="00345A17" w:rsidP="00345A17">
      <w:pPr>
        <w:pStyle w:val="NoSpacing"/>
      </w:pPr>
      <w:r>
        <w:t>Provide technical support to FSE.</w:t>
      </w:r>
    </w:p>
    <w:p w14:paraId="057F788D" w14:textId="77777777" w:rsidR="00345A17" w:rsidRDefault="00345A17" w:rsidP="00345A17">
      <w:pPr>
        <w:pStyle w:val="NoSpacing"/>
      </w:pPr>
      <w:r>
        <w:t xml:space="preserve">Follow-up to be sure the targeted FSEs </w:t>
      </w:r>
      <w:proofErr w:type="gramStart"/>
      <w:r>
        <w:t>are in compliance</w:t>
      </w:r>
      <w:proofErr w:type="gramEnd"/>
      <w:r>
        <w:t>.</w:t>
      </w:r>
    </w:p>
    <w:p w14:paraId="06405BD8" w14:textId="77777777" w:rsidR="00345A17" w:rsidRDefault="00345A17" w:rsidP="00345A17">
      <w:pPr>
        <w:pStyle w:val="NoSpacing"/>
      </w:pPr>
    </w:p>
    <w:p w14:paraId="6E101DCC" w14:textId="77777777" w:rsidR="00345A17" w:rsidRDefault="00345A17" w:rsidP="00345A17">
      <w:pPr>
        <w:pStyle w:val="NoSpacing"/>
      </w:pPr>
    </w:p>
    <w:p w14:paraId="462F185C" w14:textId="77777777" w:rsidR="00345A17" w:rsidRDefault="00345A17" w:rsidP="00C137E0">
      <w:pPr>
        <w:pStyle w:val="NoSpacing"/>
      </w:pPr>
    </w:p>
    <w:sectPr w:rsidR="0034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176"/>
    <w:multiLevelType w:val="hybridMultilevel"/>
    <w:tmpl w:val="E90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55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0"/>
    <w:rsid w:val="00013C39"/>
    <w:rsid w:val="000B304C"/>
    <w:rsid w:val="00345A17"/>
    <w:rsid w:val="00C137E0"/>
    <w:rsid w:val="00D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584A"/>
  <w15:chartTrackingRefBased/>
  <w15:docId w15:val="{54CC2852-BE55-4906-8D24-0991A5E1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3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04C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oSpacing">
    <w:name w:val="No Spacing"/>
    <w:uiPriority w:val="1"/>
    <w:qFormat/>
    <w:rsid w:val="00C137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37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6">
    <w:name w:val="Grid Table 5 Dark Accent 6"/>
    <w:basedOn w:val="TableNormal"/>
    <w:uiPriority w:val="50"/>
    <w:rsid w:val="00C137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34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A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A17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345A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ernstatesalliance.org/training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ecureservercdn.net/104.238.71.109/339.7c6.myftpupload.com/wp-content/uploads/2020/06/Kennedy-Jenks-Brown-Grease-Supply-Study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A0298AA38A84A924B93CF3D379BB5" ma:contentTypeVersion="13" ma:contentTypeDescription="Create a new document." ma:contentTypeScope="" ma:versionID="4d91b347a5c8bea44524812c5dc48d4f">
  <xsd:schema xmlns:xsd="http://www.w3.org/2001/XMLSchema" xmlns:xs="http://www.w3.org/2001/XMLSchema" xmlns:p="http://schemas.microsoft.com/office/2006/metadata/properties" xmlns:ns2="ab178c39-ce31-43ab-bc73-1ff3506f169d" xmlns:ns3="ea0c71f1-24a0-4209-9d06-602c3308e8f9" targetNamespace="http://schemas.microsoft.com/office/2006/metadata/properties" ma:root="true" ma:fieldsID="6281391f436f42be1bc6e871a5b66a32" ns2:_="" ns3:_="">
    <xsd:import namespace="ab178c39-ce31-43ab-bc73-1ff3506f169d"/>
    <xsd:import namespace="ea0c71f1-24a0-4209-9d06-602c3308e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78c39-ce31-43ab-bc73-1ff3506f1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dd67f8-8302-4193-afee-f9c07ef9a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c71f1-24a0-4209-9d06-602c3308e8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a238d2-4acb-4c7d-87cd-0b5e302ff598}" ma:internalName="TaxCatchAll" ma:showField="CatchAllData" ma:web="ea0c71f1-24a0-4209-9d06-602c3308e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178c39-ce31-43ab-bc73-1ff3506f169d">
      <Terms xmlns="http://schemas.microsoft.com/office/infopath/2007/PartnerControls"/>
    </lcf76f155ced4ddcb4097134ff3c332f>
    <TaxCatchAll xmlns="ea0c71f1-24a0-4209-9d06-602c3308e8f9" xsi:nil="true"/>
  </documentManagement>
</p:properties>
</file>

<file path=customXml/itemProps1.xml><?xml version="1.0" encoding="utf-8"?>
<ds:datastoreItem xmlns:ds="http://schemas.openxmlformats.org/officeDocument/2006/customXml" ds:itemID="{9BC0FB84-3544-40D3-8A07-4FFDD0B869B9}"/>
</file>

<file path=customXml/itemProps2.xml><?xml version="1.0" encoding="utf-8"?>
<ds:datastoreItem xmlns:ds="http://schemas.openxmlformats.org/officeDocument/2006/customXml" ds:itemID="{CC41F671-7DDC-4D4C-A279-6123D57A537C}"/>
</file>

<file path=customXml/itemProps3.xml><?xml version="1.0" encoding="utf-8"?>
<ds:datastoreItem xmlns:ds="http://schemas.openxmlformats.org/officeDocument/2006/customXml" ds:itemID="{DAF8EF58-C0DB-4555-A4AE-74AFAB370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Waters</dc:creator>
  <cp:keywords/>
  <dc:description/>
  <cp:lastModifiedBy>Jean Waters</cp:lastModifiedBy>
  <cp:revision>2</cp:revision>
  <dcterms:created xsi:type="dcterms:W3CDTF">2023-05-10T18:43:00Z</dcterms:created>
  <dcterms:modified xsi:type="dcterms:W3CDTF">2023-05-10T18:43:00Z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0x010100362A0298AA38A84A924B93CF3D379BB5</vt:lpwstr>
  </property>
</Properties>
</file>